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606" w:rsidRDefault="00F57AFE" w:rsidP="00714606">
      <w:r>
        <w:rPr>
          <w:noProof/>
          <w:lang w:eastAsia="fr-FR"/>
        </w:rPr>
        <w:pict>
          <v:shapetype id="_x0000_t202" coordsize="21600,21600" o:spt="202" path="m,l,21600r21600,l21600,xe">
            <v:stroke joinstyle="miter"/>
            <v:path gradientshapeok="t" o:connecttype="rect"/>
          </v:shapetype>
          <v:shape id="_x0000_s1026" type="#_x0000_t202" style="position:absolute;left:0;text-align:left;margin-left:-13.1pt;margin-top:-21pt;width:477.75pt;height:37.5pt;z-index:251658240">
            <v:textbox>
              <w:txbxContent>
                <w:p w:rsidR="00724698" w:rsidRPr="00714606" w:rsidRDefault="00724698" w:rsidP="00996DEC">
                  <w:pPr>
                    <w:jc w:val="center"/>
                    <w:rPr>
                      <w:b/>
                      <w:sz w:val="36"/>
                      <w:szCs w:val="36"/>
                    </w:rPr>
                  </w:pPr>
                  <w:r w:rsidRPr="00714606">
                    <w:rPr>
                      <w:b/>
                      <w:sz w:val="36"/>
                      <w:szCs w:val="36"/>
                    </w:rPr>
                    <w:t>Scénario Gestion des Immobilisations</w:t>
                  </w:r>
                  <w:r>
                    <w:rPr>
                      <w:b/>
                      <w:sz w:val="36"/>
                      <w:szCs w:val="36"/>
                    </w:rPr>
                    <w:t xml:space="preserve"> </w:t>
                  </w:r>
                </w:p>
                <w:p w:rsidR="00724698" w:rsidRPr="00714606" w:rsidRDefault="00724698" w:rsidP="00714606">
                  <w:pPr>
                    <w:rPr>
                      <w:b/>
                      <w:sz w:val="28"/>
                      <w:szCs w:val="28"/>
                    </w:rPr>
                  </w:pPr>
                </w:p>
                <w:p w:rsidR="00724698" w:rsidRDefault="00724698" w:rsidP="00714606"/>
                <w:p w:rsidR="00724698" w:rsidRDefault="00724698" w:rsidP="00714606"/>
                <w:p w:rsidR="00724698" w:rsidRDefault="00724698">
                  <w:pPr>
                    <w:ind w:left="0"/>
                  </w:pPr>
                </w:p>
              </w:txbxContent>
            </v:textbox>
          </v:shape>
        </w:pict>
      </w:r>
    </w:p>
    <w:p w:rsidR="00714606" w:rsidRDefault="00714606" w:rsidP="00714606"/>
    <w:p w:rsidR="00714606" w:rsidRDefault="00714606" w:rsidP="00714606"/>
    <w:p w:rsidR="00BA001F" w:rsidRDefault="00BA001F" w:rsidP="00714606"/>
    <w:tbl>
      <w:tblPr>
        <w:tblStyle w:val="Grilledutableau"/>
        <w:tblpPr w:leftFromText="141" w:rightFromText="141" w:vertAnchor="text" w:horzAnchor="margin" w:tblpXSpec="center" w:tblpY="163"/>
        <w:tblW w:w="9606" w:type="dxa"/>
        <w:tblLook w:val="04A0"/>
      </w:tblPr>
      <w:tblGrid>
        <w:gridCol w:w="9606"/>
      </w:tblGrid>
      <w:tr w:rsidR="00996DEC" w:rsidTr="00E50442">
        <w:tc>
          <w:tcPr>
            <w:tcW w:w="9606" w:type="dxa"/>
          </w:tcPr>
          <w:p w:rsidR="00996DEC" w:rsidRDefault="00996DEC" w:rsidP="00714606">
            <w:pPr>
              <w:ind w:left="0" w:firstLine="0"/>
              <w:jc w:val="center"/>
            </w:pPr>
            <w:r>
              <w:t>Les composantes concernées</w:t>
            </w:r>
          </w:p>
        </w:tc>
      </w:tr>
      <w:tr w:rsidR="00996DEC" w:rsidTr="00E50442">
        <w:tc>
          <w:tcPr>
            <w:tcW w:w="9606" w:type="dxa"/>
          </w:tcPr>
          <w:p w:rsidR="00AE0221" w:rsidRDefault="00AE0221" w:rsidP="00714606">
            <w:pPr>
              <w:ind w:left="0" w:firstLine="0"/>
            </w:pPr>
          </w:p>
          <w:p w:rsidR="00996DEC" w:rsidRDefault="0093788C" w:rsidP="00714606">
            <w:pPr>
              <w:ind w:left="0" w:firstLine="0"/>
            </w:pPr>
            <w:r>
              <w:t>1.5.4 Enregistrement de factures</w:t>
            </w:r>
          </w:p>
          <w:p w:rsidR="0093788C" w:rsidRDefault="0093788C" w:rsidP="00714606">
            <w:pPr>
              <w:ind w:left="0" w:firstLine="0"/>
            </w:pPr>
            <w:r>
              <w:t>2.3.2 Réalisation, enregistrement, contrôle des travaux d’inventaire relatifs aux immobilisations</w:t>
            </w:r>
          </w:p>
          <w:p w:rsidR="0093788C" w:rsidRDefault="0093788C" w:rsidP="00714606">
            <w:pPr>
              <w:ind w:left="0" w:firstLine="0"/>
            </w:pPr>
            <w:r>
              <w:t>2.3.4 Traitement des provisions réglementées et des amortissements exceptionnels</w:t>
            </w:r>
          </w:p>
          <w:p w:rsidR="0093788C" w:rsidRDefault="0093788C" w:rsidP="00714606">
            <w:pPr>
              <w:ind w:left="0" w:firstLine="0"/>
            </w:pPr>
            <w:r>
              <w:t>3.3.2 Détermination du résultat fiscal ( BIC ou IS)</w:t>
            </w:r>
          </w:p>
          <w:p w:rsidR="00996DEC" w:rsidRDefault="00996DEC" w:rsidP="00714606">
            <w:pPr>
              <w:ind w:left="0" w:firstLine="0"/>
            </w:pPr>
          </w:p>
        </w:tc>
      </w:tr>
      <w:tr w:rsidR="00996DEC" w:rsidTr="00E50442">
        <w:tc>
          <w:tcPr>
            <w:tcW w:w="9606" w:type="dxa"/>
          </w:tcPr>
          <w:p w:rsidR="00996DEC" w:rsidRDefault="00996DEC" w:rsidP="00714606">
            <w:pPr>
              <w:ind w:left="0" w:firstLine="0"/>
              <w:jc w:val="center"/>
            </w:pPr>
            <w:r>
              <w:t>Les composantes associées au P7</w:t>
            </w:r>
          </w:p>
        </w:tc>
      </w:tr>
      <w:tr w:rsidR="00996DEC" w:rsidTr="00E50442">
        <w:tc>
          <w:tcPr>
            <w:tcW w:w="9606" w:type="dxa"/>
          </w:tcPr>
          <w:p w:rsidR="00AE0221" w:rsidRDefault="00AE0221" w:rsidP="00714606">
            <w:pPr>
              <w:ind w:left="0" w:firstLine="0"/>
              <w:jc w:val="left"/>
            </w:pPr>
          </w:p>
          <w:p w:rsidR="00996DEC" w:rsidRDefault="00996DEC" w:rsidP="00714606">
            <w:pPr>
              <w:ind w:left="0" w:firstLine="0"/>
              <w:jc w:val="left"/>
            </w:pPr>
            <w:r>
              <w:t>7.1.4 Réalisation d'une veille informationnelle</w:t>
            </w:r>
          </w:p>
          <w:p w:rsidR="00996DEC" w:rsidRDefault="00996DEC" w:rsidP="00714606">
            <w:pPr>
              <w:ind w:left="0" w:firstLine="0"/>
              <w:jc w:val="left"/>
            </w:pPr>
            <w:r>
              <w:t>7.3.2 Participation à l'évolution du SI</w:t>
            </w:r>
          </w:p>
          <w:p w:rsidR="00996DEC" w:rsidRDefault="00996DEC" w:rsidP="00714606">
            <w:pPr>
              <w:ind w:left="0" w:firstLine="0"/>
              <w:jc w:val="left"/>
            </w:pPr>
          </w:p>
        </w:tc>
      </w:tr>
    </w:tbl>
    <w:p w:rsidR="00BA001F" w:rsidRDefault="00BA001F" w:rsidP="00714606"/>
    <w:p w:rsidR="00714606" w:rsidRDefault="00714606" w:rsidP="00714606"/>
    <w:tbl>
      <w:tblPr>
        <w:tblStyle w:val="Grilledutableau"/>
        <w:tblW w:w="9640" w:type="dxa"/>
        <w:tblInd w:w="-176" w:type="dxa"/>
        <w:tblLook w:val="04A0"/>
      </w:tblPr>
      <w:tblGrid>
        <w:gridCol w:w="9640"/>
      </w:tblGrid>
      <w:tr w:rsidR="00714606" w:rsidTr="002C60E6">
        <w:tc>
          <w:tcPr>
            <w:tcW w:w="9640" w:type="dxa"/>
          </w:tcPr>
          <w:p w:rsidR="00714606" w:rsidRDefault="00714606" w:rsidP="000E0CF9">
            <w:pPr>
              <w:ind w:left="0" w:firstLine="0"/>
              <w:jc w:val="center"/>
            </w:pPr>
            <w:r>
              <w:t>Les données</w:t>
            </w:r>
          </w:p>
          <w:p w:rsidR="000E0CF9" w:rsidRDefault="000E0CF9" w:rsidP="000E0CF9">
            <w:pPr>
              <w:ind w:left="0" w:firstLine="0"/>
              <w:jc w:val="center"/>
            </w:pPr>
          </w:p>
        </w:tc>
      </w:tr>
      <w:tr w:rsidR="00714606" w:rsidTr="00BA001F">
        <w:trPr>
          <w:trHeight w:val="2987"/>
        </w:trPr>
        <w:tc>
          <w:tcPr>
            <w:tcW w:w="9640" w:type="dxa"/>
          </w:tcPr>
          <w:p w:rsidR="00AE0221" w:rsidRDefault="00AE0221" w:rsidP="00714606">
            <w:pPr>
              <w:ind w:left="0" w:firstLine="0"/>
            </w:pPr>
          </w:p>
          <w:p w:rsidR="00714606" w:rsidRDefault="000E0CF9" w:rsidP="00714606">
            <w:pPr>
              <w:ind w:left="0" w:firstLine="0"/>
            </w:pPr>
            <w:r>
              <w:t>L'étudiant dispose</w:t>
            </w:r>
            <w:r w:rsidR="00D80797">
              <w:t xml:space="preserve"> :</w:t>
            </w:r>
          </w:p>
          <w:p w:rsidR="00874F98" w:rsidRDefault="00874F98" w:rsidP="00714606">
            <w:pPr>
              <w:ind w:left="0" w:firstLine="0"/>
            </w:pPr>
          </w:p>
          <w:p w:rsidR="00D80797" w:rsidRDefault="004106B1" w:rsidP="00714606">
            <w:pPr>
              <w:ind w:left="0" w:firstLine="0"/>
            </w:pPr>
            <w:r>
              <w:t>Base de données  PGI  S</w:t>
            </w:r>
            <w:r w:rsidR="00D80797">
              <w:t>passevitch</w:t>
            </w:r>
          </w:p>
          <w:p w:rsidR="00D80797" w:rsidRPr="0093788C" w:rsidRDefault="00D80797" w:rsidP="00714606">
            <w:pPr>
              <w:ind w:left="0" w:firstLine="0"/>
            </w:pPr>
            <w:r w:rsidRPr="0093788C">
              <w:t xml:space="preserve">Annexe 1 : </w:t>
            </w:r>
            <w:r w:rsidR="004106B1" w:rsidRPr="0093788C">
              <w:t>Contexte Spassevitch</w:t>
            </w:r>
            <w:r w:rsidR="00B535A6">
              <w:t xml:space="preserve"> couverture</w:t>
            </w:r>
          </w:p>
          <w:p w:rsidR="00D80797" w:rsidRDefault="00D80797" w:rsidP="00714606">
            <w:pPr>
              <w:ind w:left="0" w:firstLine="0"/>
            </w:pPr>
            <w:r w:rsidRPr="004106B1">
              <w:t xml:space="preserve">Annexe 2 : </w:t>
            </w:r>
            <w:r w:rsidR="004106B1" w:rsidRPr="004106B1">
              <w:t>Nouveaux matériels</w:t>
            </w:r>
          </w:p>
          <w:p w:rsidR="00BE7DC6" w:rsidRPr="004106B1" w:rsidRDefault="00BE7DC6" w:rsidP="00714606">
            <w:pPr>
              <w:ind w:left="0" w:firstLine="0"/>
            </w:pPr>
            <w:r>
              <w:t>Annexe 3 : Documentation professionnelle collectée par Xavier</w:t>
            </w:r>
          </w:p>
          <w:p w:rsidR="00D80797" w:rsidRPr="002C60E6" w:rsidRDefault="00D80797" w:rsidP="00714606">
            <w:pPr>
              <w:ind w:left="0" w:firstLine="0"/>
              <w:rPr>
                <w:sz w:val="28"/>
                <w:szCs w:val="28"/>
              </w:rPr>
            </w:pPr>
            <w:r w:rsidRPr="002C60E6">
              <w:t xml:space="preserve">Annexe </w:t>
            </w:r>
            <w:r w:rsidR="00BE7DC6" w:rsidRPr="002C60E6">
              <w:t>4</w:t>
            </w:r>
            <w:r w:rsidRPr="002C60E6">
              <w:t xml:space="preserve"> :</w:t>
            </w:r>
            <w:r w:rsidR="004106B1" w:rsidRPr="002C60E6">
              <w:t xml:space="preserve"> Extrait du plan comptable</w:t>
            </w:r>
            <w:r w:rsidR="002C60E6" w:rsidRPr="002C60E6">
              <w:t xml:space="preserve"> </w:t>
            </w:r>
          </w:p>
          <w:p w:rsidR="000A7FAB" w:rsidRPr="002C60E6" w:rsidRDefault="004106B1" w:rsidP="00714606">
            <w:pPr>
              <w:ind w:left="0" w:firstLine="0"/>
            </w:pPr>
            <w:r w:rsidRPr="002C60E6">
              <w:t xml:space="preserve">Annexe </w:t>
            </w:r>
            <w:r w:rsidR="00BE7DC6" w:rsidRPr="002C60E6">
              <w:t>5</w:t>
            </w:r>
            <w:r w:rsidRPr="002C60E6">
              <w:t xml:space="preserve"> </w:t>
            </w:r>
            <w:r w:rsidR="002C60E6" w:rsidRPr="002C60E6">
              <w:t xml:space="preserve">: </w:t>
            </w:r>
            <w:r w:rsidR="004D10FA" w:rsidRPr="002C60E6">
              <w:t xml:space="preserve">Fiche conseil </w:t>
            </w:r>
            <w:r w:rsidR="00BE4376">
              <w:t>pour la mission 1</w:t>
            </w:r>
          </w:p>
          <w:p w:rsidR="00D80797" w:rsidRPr="002C60E6" w:rsidRDefault="00EF0146" w:rsidP="00714606">
            <w:pPr>
              <w:ind w:left="0" w:firstLine="0"/>
            </w:pPr>
            <w:r w:rsidRPr="002C60E6">
              <w:t xml:space="preserve">Annexe 6 </w:t>
            </w:r>
            <w:r w:rsidR="002C60E6" w:rsidRPr="002C60E6">
              <w:t xml:space="preserve">: </w:t>
            </w:r>
            <w:r w:rsidRPr="002C60E6">
              <w:t>facture</w:t>
            </w:r>
            <w:r w:rsidR="009D520B">
              <w:t xml:space="preserve"> </w:t>
            </w:r>
            <w:r w:rsidRPr="002C60E6">
              <w:t>SETAM</w:t>
            </w:r>
          </w:p>
          <w:p w:rsidR="00EF0146" w:rsidRPr="002C60E6" w:rsidRDefault="002C60E6" w:rsidP="00714606">
            <w:pPr>
              <w:ind w:left="0" w:firstLine="0"/>
            </w:pPr>
            <w:r w:rsidRPr="002C60E6">
              <w:t>Annexe 7</w:t>
            </w:r>
            <w:r w:rsidR="00EF0146" w:rsidRPr="002C60E6">
              <w:t xml:space="preserve"> : facture </w:t>
            </w:r>
            <w:r w:rsidR="009D520B">
              <w:t>SUPRALIFT</w:t>
            </w:r>
          </w:p>
          <w:p w:rsidR="000E0CF9" w:rsidRDefault="000E0CF9" w:rsidP="00714606">
            <w:pPr>
              <w:ind w:left="0" w:firstLine="0"/>
            </w:pPr>
          </w:p>
        </w:tc>
      </w:tr>
    </w:tbl>
    <w:p w:rsidR="00714606" w:rsidRDefault="00714606" w:rsidP="00714606"/>
    <w:p w:rsidR="00BA001F" w:rsidRDefault="00BA001F"/>
    <w:tbl>
      <w:tblPr>
        <w:tblStyle w:val="Grilledutableau"/>
        <w:tblW w:w="9640" w:type="dxa"/>
        <w:tblInd w:w="-176" w:type="dxa"/>
        <w:tblLook w:val="04A0"/>
      </w:tblPr>
      <w:tblGrid>
        <w:gridCol w:w="9640"/>
      </w:tblGrid>
      <w:tr w:rsidR="000E0CF9" w:rsidTr="00BA001F">
        <w:tc>
          <w:tcPr>
            <w:tcW w:w="9640" w:type="dxa"/>
          </w:tcPr>
          <w:p w:rsidR="000E0CF9" w:rsidRDefault="00BA001F" w:rsidP="00874F98">
            <w:pPr>
              <w:ind w:left="0" w:firstLine="0"/>
            </w:pPr>
            <w:r>
              <w:t>La problématique</w:t>
            </w:r>
          </w:p>
        </w:tc>
      </w:tr>
      <w:tr w:rsidR="000E0CF9" w:rsidTr="00BA001F">
        <w:tc>
          <w:tcPr>
            <w:tcW w:w="9640" w:type="dxa"/>
          </w:tcPr>
          <w:p w:rsidR="00AE0221" w:rsidRDefault="00AE0221" w:rsidP="00714606">
            <w:pPr>
              <w:ind w:left="0" w:firstLine="0"/>
            </w:pPr>
          </w:p>
          <w:p w:rsidR="000E0CF9" w:rsidRDefault="009D520B" w:rsidP="00714606">
            <w:pPr>
              <w:ind w:left="0" w:firstLine="0"/>
            </w:pPr>
            <w:r>
              <w:t>L’</w:t>
            </w:r>
            <w:r w:rsidR="00874F98">
              <w:t>amortissement des immobilisations.</w:t>
            </w:r>
          </w:p>
          <w:p w:rsidR="000E0CF9" w:rsidRDefault="000E0CF9" w:rsidP="00714606">
            <w:pPr>
              <w:ind w:left="0" w:firstLine="0"/>
            </w:pPr>
          </w:p>
        </w:tc>
      </w:tr>
      <w:tr w:rsidR="000E0CF9" w:rsidTr="00BA001F">
        <w:tc>
          <w:tcPr>
            <w:tcW w:w="9640" w:type="dxa"/>
          </w:tcPr>
          <w:p w:rsidR="000E0CF9" w:rsidRDefault="000E0CF9" w:rsidP="00714606">
            <w:pPr>
              <w:ind w:left="0" w:firstLine="0"/>
            </w:pPr>
            <w:r>
              <w:t>Les ressources matérielles et logicielles</w:t>
            </w:r>
          </w:p>
        </w:tc>
      </w:tr>
      <w:tr w:rsidR="000E0CF9" w:rsidTr="00BA001F">
        <w:tc>
          <w:tcPr>
            <w:tcW w:w="9640" w:type="dxa"/>
          </w:tcPr>
          <w:p w:rsidR="00AE0221" w:rsidRDefault="00AE0221" w:rsidP="00714606">
            <w:pPr>
              <w:ind w:left="0" w:firstLine="0"/>
            </w:pPr>
          </w:p>
          <w:p w:rsidR="000E0CF9" w:rsidRDefault="0051137B" w:rsidP="00714606">
            <w:pPr>
              <w:ind w:left="0" w:firstLine="0"/>
            </w:pPr>
            <w:r>
              <w:t>PGI, traitement de texte, accès internet, ressources internes</w:t>
            </w:r>
          </w:p>
          <w:p w:rsidR="000E0CF9" w:rsidRDefault="000E0CF9" w:rsidP="00714606">
            <w:pPr>
              <w:ind w:left="0" w:firstLine="0"/>
            </w:pPr>
          </w:p>
        </w:tc>
      </w:tr>
      <w:tr w:rsidR="000E0CF9" w:rsidTr="00BA001F">
        <w:tc>
          <w:tcPr>
            <w:tcW w:w="9640" w:type="dxa"/>
          </w:tcPr>
          <w:p w:rsidR="000E0CF9" w:rsidRDefault="000E0CF9" w:rsidP="00714606">
            <w:pPr>
              <w:ind w:left="0" w:firstLine="0"/>
            </w:pPr>
            <w:r>
              <w:t>l'organisation du travail</w:t>
            </w:r>
          </w:p>
        </w:tc>
      </w:tr>
      <w:tr w:rsidR="000E0CF9" w:rsidTr="00BA001F">
        <w:trPr>
          <w:trHeight w:val="396"/>
        </w:trPr>
        <w:tc>
          <w:tcPr>
            <w:tcW w:w="9640" w:type="dxa"/>
          </w:tcPr>
          <w:p w:rsidR="00AE0221" w:rsidRDefault="00AE0221" w:rsidP="00714606">
            <w:pPr>
              <w:ind w:left="0" w:firstLine="0"/>
            </w:pPr>
          </w:p>
          <w:p w:rsidR="000E0CF9" w:rsidRDefault="0093788C" w:rsidP="00714606">
            <w:pPr>
              <w:ind w:left="0" w:firstLine="0"/>
            </w:pPr>
            <w:r>
              <w:t>Recherche individuelle</w:t>
            </w:r>
            <w:r w:rsidR="00BA001F">
              <w:t xml:space="preserve"> (ou par groupe</w:t>
            </w:r>
            <w:r w:rsidR="00B21EB8">
              <w:t>)</w:t>
            </w:r>
            <w:r>
              <w:t xml:space="preserve"> puis synthèse collective après chaque </w:t>
            </w:r>
            <w:r w:rsidR="00180AB9">
              <w:t>étape</w:t>
            </w:r>
            <w:r w:rsidR="00B21EB8">
              <w:t>.</w:t>
            </w:r>
          </w:p>
          <w:p w:rsidR="000E0CF9" w:rsidRDefault="000E0CF9" w:rsidP="00714606">
            <w:pPr>
              <w:ind w:left="0" w:firstLine="0"/>
            </w:pPr>
          </w:p>
        </w:tc>
      </w:tr>
    </w:tbl>
    <w:p w:rsidR="00BA001F" w:rsidRDefault="00BA001F"/>
    <w:p w:rsidR="00AE0221" w:rsidRDefault="00AE0221"/>
    <w:p w:rsidR="00AE0221" w:rsidRDefault="00AE0221"/>
    <w:p w:rsidR="00AE0221" w:rsidRDefault="00AE0221" w:rsidP="00714606"/>
    <w:tbl>
      <w:tblPr>
        <w:tblStyle w:val="Grilledutableau"/>
        <w:tblW w:w="9640" w:type="dxa"/>
        <w:tblInd w:w="-176" w:type="dxa"/>
        <w:tblLook w:val="04A0"/>
      </w:tblPr>
      <w:tblGrid>
        <w:gridCol w:w="9640"/>
      </w:tblGrid>
      <w:tr w:rsidR="000E0CF9" w:rsidTr="00BA001F">
        <w:tc>
          <w:tcPr>
            <w:tcW w:w="9640" w:type="dxa"/>
          </w:tcPr>
          <w:p w:rsidR="000E0CF9" w:rsidRDefault="000E0CF9" w:rsidP="00714606">
            <w:pPr>
              <w:ind w:left="0" w:firstLine="0"/>
            </w:pPr>
            <w:r>
              <w:lastRenderedPageBreak/>
              <w:t>Les Missions confiées</w:t>
            </w:r>
          </w:p>
        </w:tc>
      </w:tr>
      <w:tr w:rsidR="000E0CF9" w:rsidTr="00AE0221">
        <w:tc>
          <w:tcPr>
            <w:tcW w:w="9640" w:type="dxa"/>
            <w:tcBorders>
              <w:bottom w:val="single" w:sz="4" w:space="0" w:color="auto"/>
            </w:tcBorders>
          </w:tcPr>
          <w:p w:rsidR="00BA001F" w:rsidRDefault="00BA001F" w:rsidP="00A92219">
            <w:pPr>
              <w:ind w:left="0" w:firstLine="0"/>
            </w:pPr>
          </w:p>
          <w:p w:rsidR="00D80797" w:rsidRDefault="00A92219" w:rsidP="00A92219">
            <w:pPr>
              <w:ind w:left="0" w:firstLine="0"/>
            </w:pPr>
            <w:r>
              <w:t>V</w:t>
            </w:r>
            <w:r w:rsidR="00D80797">
              <w:t>ous prenez la suite du précédent stagiaire qui a mis en place la gestion des immo</w:t>
            </w:r>
            <w:r>
              <w:t xml:space="preserve">bilisations sur le nouveau </w:t>
            </w:r>
            <w:r w:rsidR="00250340">
              <w:t>PGI</w:t>
            </w:r>
            <w:r>
              <w:t xml:space="preserve"> SAGE 100 entreprise. </w:t>
            </w:r>
          </w:p>
          <w:p w:rsidR="008D3648" w:rsidRDefault="008D3648" w:rsidP="00A92219">
            <w:pPr>
              <w:ind w:left="0" w:firstLine="0"/>
            </w:pPr>
          </w:p>
          <w:p w:rsidR="00A92219" w:rsidRDefault="00A92219" w:rsidP="00A92219">
            <w:pPr>
              <w:ind w:left="0" w:firstLine="0"/>
            </w:pPr>
            <w:r>
              <w:t xml:space="preserve">Votre entretien avec Joseph Kermach : </w:t>
            </w:r>
          </w:p>
          <w:p w:rsidR="00BA001F" w:rsidRDefault="00BA001F" w:rsidP="00A92219">
            <w:pPr>
              <w:ind w:left="0" w:firstLine="0"/>
            </w:pPr>
          </w:p>
          <w:p w:rsidR="00A92219" w:rsidRDefault="00A92219" w:rsidP="00A92219">
            <w:pPr>
              <w:pStyle w:val="NormalWeb"/>
              <w:spacing w:before="20" w:beforeAutospacing="0" w:after="20" w:afterAutospacing="0"/>
            </w:pPr>
            <w:r>
              <w:rPr>
                <w:rStyle w:val="lev"/>
              </w:rPr>
              <w:t>JK</w:t>
            </w:r>
            <w:r>
              <w:t>: vous reprenez les activités de Xavier qui vient de terminer son stage.</w:t>
            </w:r>
          </w:p>
          <w:p w:rsidR="008B6AA5" w:rsidRDefault="008B6AA5" w:rsidP="008B6AA5">
            <w:pPr>
              <w:pStyle w:val="NormalWeb"/>
              <w:spacing w:before="20" w:beforeAutospacing="0" w:after="20" w:afterAutospacing="0"/>
            </w:pPr>
            <w:r>
              <w:t>Il a paramétré le module immobilisations du PGI conformément à mes instructions, mais il n'a pas eu le temps de gérer nos 2 nouveaux investissements.</w:t>
            </w:r>
          </w:p>
          <w:p w:rsidR="008B6AA5" w:rsidRPr="008B6AA5" w:rsidRDefault="008B6AA5" w:rsidP="008B6AA5">
            <w:pPr>
              <w:pStyle w:val="NormalWeb"/>
              <w:spacing w:before="20" w:beforeAutospacing="0" w:after="20" w:afterAutospacing="0"/>
            </w:pPr>
            <w:r>
              <w:t xml:space="preserve">Vous êtes chargé(e) de vérifier l'enregistrement des factures après avoir constitué une documentation professionnelle sur la notion de coût d'acquisition des immobilisations. Puis de créer les fiches d'immobilisations sur le module des immobilisations et </w:t>
            </w:r>
            <w:r w:rsidRPr="008B6AA5">
              <w:t>d’éditer les tableaux d’amortissement comptable, fiscal et dérogatoire  après avoir recherché une documentation professionnelle et rédigé une note précisant:</w:t>
            </w:r>
          </w:p>
          <w:p w:rsidR="008B6AA5" w:rsidRDefault="008B6AA5" w:rsidP="008B6AA5">
            <w:pPr>
              <w:pStyle w:val="NormalWeb"/>
              <w:spacing w:before="20" w:beforeAutospacing="0" w:after="20" w:afterAutospacing="0"/>
            </w:pPr>
            <w:r>
              <w:t>- la distinction entre amortissement comptable et amortissement fiscal</w:t>
            </w:r>
          </w:p>
          <w:p w:rsidR="008B6AA5" w:rsidRDefault="008B6AA5" w:rsidP="008B6AA5">
            <w:pPr>
              <w:pStyle w:val="NormalWeb"/>
              <w:spacing w:before="20" w:beforeAutospacing="0" w:after="20" w:afterAutospacing="0"/>
            </w:pPr>
            <w:r>
              <w:t>- les conditions pour bénéficier d'un amortissement fiscal dégressif ou  d'un amortissement exceptionnel</w:t>
            </w:r>
          </w:p>
          <w:p w:rsidR="008B6AA5" w:rsidRDefault="008B6AA5" w:rsidP="007A37E0">
            <w:pPr>
              <w:pStyle w:val="NormalWeb"/>
              <w:spacing w:before="20" w:beforeAutospacing="0" w:after="20" w:afterAutospacing="0"/>
            </w:pPr>
            <w:r>
              <w:t>- l'intérêt de constituer des amortissements dérogatoires</w:t>
            </w:r>
          </w:p>
          <w:p w:rsidR="00180AB9" w:rsidRDefault="00180AB9" w:rsidP="007A37E0">
            <w:pPr>
              <w:pStyle w:val="NormalWeb"/>
              <w:spacing w:before="20" w:beforeAutospacing="0" w:after="20" w:afterAutospacing="0"/>
            </w:pPr>
            <w:r>
              <w:t>L’entreprise recherche toujours la solut</w:t>
            </w:r>
            <w:r w:rsidR="00BA001F">
              <w:t>ion fiscale la plus avantageuse.</w:t>
            </w:r>
          </w:p>
          <w:p w:rsidR="008B6AA5" w:rsidRDefault="008B6AA5" w:rsidP="007A37E0">
            <w:pPr>
              <w:pStyle w:val="NormalWeb"/>
              <w:spacing w:before="20" w:beforeAutospacing="0" w:after="20" w:afterAutospacing="0"/>
            </w:pPr>
            <w:r>
              <w:t xml:space="preserve">Ces synthèses seront utiles aux stagiaires qui interviendront par la suite sur la gestion </w:t>
            </w:r>
          </w:p>
          <w:p w:rsidR="008B6AA5" w:rsidRDefault="008B6AA5" w:rsidP="007A37E0">
            <w:pPr>
              <w:pStyle w:val="NormalWeb"/>
              <w:spacing w:before="20" w:beforeAutospacing="0" w:after="20" w:afterAutospacing="0"/>
            </w:pPr>
            <w:r>
              <w:t>des immobilisations.</w:t>
            </w:r>
          </w:p>
          <w:p w:rsidR="008B6AA5" w:rsidRPr="008B6AA5" w:rsidRDefault="008B6AA5" w:rsidP="00BE4376">
            <w:pPr>
              <w:pStyle w:val="NormalWeb"/>
              <w:spacing w:beforeLines="20" w:beforeAutospacing="0" w:afterLines="20" w:afterAutospacing="0"/>
            </w:pPr>
            <w:r w:rsidRPr="008B6AA5">
              <w:t>Je vous demande donc de me transmettre un dossier comprenant :</w:t>
            </w:r>
          </w:p>
          <w:p w:rsidR="008B6AA5" w:rsidRPr="008B6AA5" w:rsidRDefault="00567221" w:rsidP="00BE4376">
            <w:pPr>
              <w:pStyle w:val="NormalWeb"/>
              <w:numPr>
                <w:ilvl w:val="0"/>
                <w:numId w:val="3"/>
              </w:numPr>
              <w:spacing w:beforeLines="20" w:beforeAutospacing="0" w:afterLines="20" w:afterAutospacing="0"/>
            </w:pPr>
            <w:r>
              <w:t>Les factures et l</w:t>
            </w:r>
            <w:r w:rsidR="008B6AA5" w:rsidRPr="008B6AA5">
              <w:t>es plans d’amortissement des immobilisations nouvellement acquises</w:t>
            </w:r>
          </w:p>
          <w:p w:rsidR="008B6AA5" w:rsidRPr="008B6AA5" w:rsidRDefault="008B6AA5" w:rsidP="00BE4376">
            <w:pPr>
              <w:pStyle w:val="NormalWeb"/>
              <w:numPr>
                <w:ilvl w:val="0"/>
                <w:numId w:val="3"/>
              </w:numPr>
              <w:spacing w:beforeLines="20" w:beforeAutospacing="0" w:afterLines="20" w:afterAutospacing="0"/>
            </w:pPr>
            <w:r w:rsidRPr="008B6AA5">
              <w:t xml:space="preserve">La documentation professionnelle sur les thèmes évoqués plus haut </w:t>
            </w:r>
          </w:p>
          <w:p w:rsidR="008B6AA5" w:rsidRPr="008B6AA5" w:rsidRDefault="008B6AA5" w:rsidP="00BE4376">
            <w:pPr>
              <w:pStyle w:val="NormalWeb"/>
              <w:numPr>
                <w:ilvl w:val="0"/>
                <w:numId w:val="3"/>
              </w:numPr>
              <w:spacing w:beforeLines="20" w:beforeAutospacing="0" w:afterLines="20" w:afterAutospacing="0"/>
            </w:pPr>
            <w:r w:rsidRPr="008B6AA5">
              <w:t>La note de synthèse demandée</w:t>
            </w:r>
          </w:p>
          <w:p w:rsidR="008B6AA5" w:rsidRPr="001774AF" w:rsidRDefault="008B6AA5" w:rsidP="00BE4376">
            <w:pPr>
              <w:pStyle w:val="NormalWeb"/>
              <w:numPr>
                <w:ilvl w:val="0"/>
                <w:numId w:val="3"/>
              </w:numPr>
              <w:spacing w:beforeLines="20" w:beforeAutospacing="0" w:afterLines="20" w:afterAutospacing="0"/>
              <w:rPr>
                <w:color w:val="FF0000"/>
              </w:rPr>
            </w:pPr>
            <w:r w:rsidRPr="00BA001F">
              <w:t>Vos remarques éventuelles sur les travaux réalisés</w:t>
            </w:r>
            <w:r w:rsidR="001774AF" w:rsidRPr="001774AF">
              <w:rPr>
                <w:color w:val="FF0000"/>
              </w:rPr>
              <w:t>.</w:t>
            </w:r>
          </w:p>
          <w:p w:rsidR="00EF0E21" w:rsidRDefault="00EF0E21" w:rsidP="00BE4376">
            <w:pPr>
              <w:pStyle w:val="NormalWeb"/>
              <w:spacing w:beforeLines="20" w:beforeAutospacing="0" w:afterLines="20" w:afterAutospacing="0"/>
            </w:pPr>
          </w:p>
          <w:p w:rsidR="00A92219" w:rsidRDefault="00A92219" w:rsidP="00BE4376">
            <w:pPr>
              <w:pStyle w:val="NormalWeb"/>
              <w:spacing w:beforeLines="20" w:beforeAutospacing="0" w:afterLines="20" w:afterAutospacing="0"/>
            </w:pPr>
            <w:r>
              <w:t>l</w:t>
            </w:r>
            <w:r>
              <w:rPr>
                <w:rStyle w:val="lev"/>
              </w:rPr>
              <w:t>e stagiaire</w:t>
            </w:r>
            <w:r>
              <w:t>: avez-vous des abonnements à quelques revues professionnelles?</w:t>
            </w:r>
          </w:p>
          <w:p w:rsidR="00A92219" w:rsidRDefault="00A92219" w:rsidP="00BE4376">
            <w:pPr>
              <w:pStyle w:val="NormalWeb"/>
              <w:spacing w:beforeLines="20" w:beforeAutospacing="0" w:afterLines="20" w:afterAutospacing="0"/>
            </w:pPr>
            <w:r>
              <w:t> </w:t>
            </w:r>
          </w:p>
          <w:p w:rsidR="00567221" w:rsidRPr="00567221" w:rsidRDefault="00A92219" w:rsidP="007A37E0">
            <w:pPr>
              <w:pStyle w:val="NormalWeb"/>
              <w:spacing w:before="20" w:beforeAutospacing="0" w:after="20" w:afterAutospacing="0"/>
            </w:pPr>
            <w:r>
              <w:rPr>
                <w:rStyle w:val="lev"/>
              </w:rPr>
              <w:t>JK</w:t>
            </w:r>
            <w:r>
              <w:t>: nous disposons des mémentos F. LEFEBVRE, mais nous utilisons aussi les infos de sites tels que</w:t>
            </w:r>
            <w:r w:rsidR="007B2566">
              <w:t xml:space="preserve"> </w:t>
            </w:r>
            <w:r>
              <w:t xml:space="preserve"> impôts.gouv...</w:t>
            </w:r>
            <w:r w:rsidR="00567221" w:rsidRPr="003A5A87">
              <w:rPr>
                <w:color w:val="FF0000"/>
              </w:rPr>
              <w:t xml:space="preserve"> </w:t>
            </w:r>
            <w:r w:rsidR="00567221" w:rsidRPr="00567221">
              <w:t xml:space="preserve">Par ailleurs Xavier a commencé une recherche documentaire que vous trouverez dans le dossier joint. </w:t>
            </w:r>
          </w:p>
          <w:p w:rsidR="00567221" w:rsidRDefault="00567221" w:rsidP="007A37E0">
            <w:pPr>
              <w:pStyle w:val="NormalWeb"/>
              <w:spacing w:before="20" w:beforeAutospacing="0" w:after="20" w:afterAutospacing="0"/>
              <w:rPr>
                <w:u w:val="single"/>
              </w:rPr>
            </w:pPr>
            <w:r w:rsidRPr="00567221">
              <w:rPr>
                <w:u w:val="single"/>
              </w:rPr>
              <w:t xml:space="preserve"> </w:t>
            </w:r>
            <w:r w:rsidR="007A37E0">
              <w:rPr>
                <w:u w:val="single"/>
              </w:rPr>
              <w:t>D</w:t>
            </w:r>
            <w:r w:rsidRPr="00567221">
              <w:rPr>
                <w:u w:val="single"/>
              </w:rPr>
              <w:t>ossier constitué par XAVIER</w:t>
            </w:r>
          </w:p>
          <w:p w:rsidR="00EB2003" w:rsidRPr="00567221" w:rsidRDefault="00EB2003" w:rsidP="00EB2003">
            <w:pPr>
              <w:pStyle w:val="NormalWeb"/>
              <w:numPr>
                <w:ilvl w:val="0"/>
                <w:numId w:val="3"/>
              </w:numPr>
              <w:spacing w:before="20" w:beforeAutospacing="0" w:after="20" w:afterAutospacing="0"/>
              <w:rPr>
                <w:u w:val="single"/>
              </w:rPr>
            </w:pPr>
            <w:r>
              <w:rPr>
                <w:u w:val="single"/>
              </w:rPr>
              <w:t xml:space="preserve"> </w:t>
            </w:r>
            <w:r w:rsidRPr="00EE701F">
              <w:t>Fiches concernant les nouvelles immobilisations (Annexe 2</w:t>
            </w:r>
            <w:r>
              <w:rPr>
                <w:u w:val="single"/>
              </w:rPr>
              <w:t>)</w:t>
            </w:r>
          </w:p>
          <w:p w:rsidR="00567221" w:rsidRPr="000A7FAB" w:rsidRDefault="00567221" w:rsidP="007A37E0">
            <w:pPr>
              <w:pStyle w:val="NormalWeb"/>
              <w:numPr>
                <w:ilvl w:val="0"/>
                <w:numId w:val="3"/>
              </w:numPr>
              <w:spacing w:before="20" w:beforeAutospacing="0" w:after="20" w:afterAutospacing="0"/>
              <w:rPr>
                <w:color w:val="FF0000"/>
              </w:rPr>
            </w:pPr>
            <w:r w:rsidRPr="00567221">
              <w:t xml:space="preserve"> Deux </w:t>
            </w:r>
            <w:r w:rsidRPr="008D3648">
              <w:t>Factures</w:t>
            </w:r>
            <w:r w:rsidR="000A7FAB" w:rsidRPr="008D3648">
              <w:t xml:space="preserve"> (annexe </w:t>
            </w:r>
            <w:r w:rsidR="00EB2003" w:rsidRPr="008D3648">
              <w:t>6 et 7)</w:t>
            </w:r>
          </w:p>
          <w:p w:rsidR="00567221" w:rsidRPr="00567221" w:rsidRDefault="00567221" w:rsidP="007A37E0">
            <w:pPr>
              <w:pStyle w:val="NormalWeb"/>
              <w:numPr>
                <w:ilvl w:val="0"/>
                <w:numId w:val="3"/>
              </w:numPr>
              <w:spacing w:before="20" w:beforeAutospacing="0" w:after="20" w:afterAutospacing="0"/>
            </w:pPr>
            <w:r w:rsidRPr="00567221">
              <w:t xml:space="preserve"> Annexe </w:t>
            </w:r>
            <w:r w:rsidR="00BE7DC6">
              <w:t>3</w:t>
            </w:r>
            <w:r w:rsidRPr="00567221">
              <w:t xml:space="preserve"> Documentation professionnelle</w:t>
            </w:r>
          </w:p>
          <w:p w:rsidR="00567221" w:rsidRPr="00567221" w:rsidRDefault="007A37E0" w:rsidP="007A37E0">
            <w:pPr>
              <w:pStyle w:val="NormalWeb"/>
              <w:numPr>
                <w:ilvl w:val="0"/>
                <w:numId w:val="3"/>
              </w:numPr>
              <w:spacing w:before="20" w:beforeAutospacing="0" w:after="20" w:afterAutospacing="0"/>
            </w:pPr>
            <w:r>
              <w:t xml:space="preserve">Annexe </w:t>
            </w:r>
            <w:r w:rsidR="00BE7DC6">
              <w:t>4</w:t>
            </w:r>
            <w:r>
              <w:t xml:space="preserve"> Extrait du plan comptable</w:t>
            </w:r>
            <w:r w:rsidR="000A7FAB">
              <w:t xml:space="preserve"> </w:t>
            </w:r>
          </w:p>
          <w:p w:rsidR="00567221" w:rsidRPr="00567221" w:rsidRDefault="00567221" w:rsidP="007A37E0">
            <w:pPr>
              <w:pStyle w:val="NormalWeb"/>
              <w:spacing w:before="20" w:beforeAutospacing="0" w:after="20" w:afterAutospacing="0"/>
              <w:ind w:left="720"/>
            </w:pPr>
          </w:p>
          <w:p w:rsidR="00A92219" w:rsidRDefault="00A92219" w:rsidP="00A92219">
            <w:pPr>
              <w:pStyle w:val="NormalWeb"/>
              <w:spacing w:before="20" w:beforeAutospacing="0" w:after="20" w:afterAutospacing="0"/>
            </w:pPr>
          </w:p>
          <w:p w:rsidR="00BA001F" w:rsidRDefault="00BA001F" w:rsidP="00A92219">
            <w:pPr>
              <w:pStyle w:val="NormalWeb"/>
              <w:spacing w:before="20" w:beforeAutospacing="0" w:after="20" w:afterAutospacing="0"/>
            </w:pPr>
          </w:p>
          <w:p w:rsidR="00BA001F" w:rsidRDefault="00BA001F" w:rsidP="00A92219">
            <w:pPr>
              <w:pStyle w:val="NormalWeb"/>
              <w:spacing w:before="20" w:beforeAutospacing="0" w:after="20" w:afterAutospacing="0"/>
            </w:pPr>
          </w:p>
          <w:p w:rsidR="00BA001F" w:rsidRDefault="00BA001F" w:rsidP="00A92219">
            <w:pPr>
              <w:pStyle w:val="NormalWeb"/>
              <w:spacing w:before="20" w:beforeAutospacing="0" w:after="20" w:afterAutospacing="0"/>
            </w:pPr>
          </w:p>
          <w:p w:rsidR="00BA001F" w:rsidRDefault="00BA001F" w:rsidP="00A92219">
            <w:pPr>
              <w:pStyle w:val="NormalWeb"/>
              <w:spacing w:before="20" w:beforeAutospacing="0" w:after="20" w:afterAutospacing="0"/>
            </w:pPr>
          </w:p>
          <w:p w:rsidR="000E0CF9" w:rsidRDefault="000E0CF9" w:rsidP="00714606">
            <w:pPr>
              <w:ind w:left="0" w:firstLine="0"/>
            </w:pPr>
          </w:p>
          <w:p w:rsidR="00AE0221" w:rsidRDefault="00AE0221" w:rsidP="00714606">
            <w:pPr>
              <w:ind w:left="0" w:firstLine="0"/>
            </w:pPr>
          </w:p>
          <w:p w:rsidR="00BA001F" w:rsidRDefault="00BA001F" w:rsidP="00714606">
            <w:pPr>
              <w:ind w:left="0" w:firstLine="0"/>
            </w:pPr>
          </w:p>
        </w:tc>
      </w:tr>
      <w:tr w:rsidR="000E0CF9" w:rsidTr="00AE0221">
        <w:tc>
          <w:tcPr>
            <w:tcW w:w="9640" w:type="dxa"/>
            <w:tcBorders>
              <w:top w:val="single" w:sz="4" w:space="0" w:color="auto"/>
              <w:left w:val="single" w:sz="4" w:space="0" w:color="auto"/>
              <w:bottom w:val="single" w:sz="4" w:space="0" w:color="auto"/>
              <w:right w:val="single" w:sz="4" w:space="0" w:color="auto"/>
            </w:tcBorders>
          </w:tcPr>
          <w:p w:rsidR="008D3648" w:rsidRPr="008D3648" w:rsidRDefault="008D3648" w:rsidP="008D3648">
            <w:pPr>
              <w:rPr>
                <w:b/>
              </w:rPr>
            </w:pPr>
          </w:p>
          <w:p w:rsidR="00D80797" w:rsidRPr="007B2566" w:rsidRDefault="003E53CE" w:rsidP="00AE0221">
            <w:pPr>
              <w:rPr>
                <w:b/>
                <w:color w:val="4F81BD" w:themeColor="accent1"/>
              </w:rPr>
            </w:pPr>
            <w:r w:rsidRPr="007B2566">
              <w:rPr>
                <w:b/>
                <w:color w:val="4F81BD" w:themeColor="accent1"/>
              </w:rPr>
              <w:t>Mise en œuvre :</w:t>
            </w:r>
          </w:p>
          <w:p w:rsidR="00D375CA" w:rsidRPr="008D3648" w:rsidRDefault="00D375CA" w:rsidP="00AE0221">
            <w:pPr>
              <w:rPr>
                <w:b/>
              </w:rPr>
            </w:pPr>
          </w:p>
          <w:p w:rsidR="003E53CE" w:rsidRPr="008D3648" w:rsidRDefault="003E53CE" w:rsidP="00AE0221">
            <w:pPr>
              <w:rPr>
                <w:b/>
              </w:rPr>
            </w:pPr>
            <w:r w:rsidRPr="008D3648">
              <w:rPr>
                <w:b/>
              </w:rPr>
              <w:t>Pour répondre à la demande de J</w:t>
            </w:r>
            <w:r w:rsidR="008D3648" w:rsidRPr="008D3648">
              <w:rPr>
                <w:b/>
              </w:rPr>
              <w:t>oseph Kermach</w:t>
            </w:r>
            <w:r w:rsidRPr="008D3648">
              <w:rPr>
                <w:b/>
              </w:rPr>
              <w:t>, vous adopte</w:t>
            </w:r>
            <w:r w:rsidR="00D70787" w:rsidRPr="008D3648">
              <w:rPr>
                <w:b/>
              </w:rPr>
              <w:t>z</w:t>
            </w:r>
            <w:r w:rsidRPr="008D3648">
              <w:rPr>
                <w:b/>
              </w:rPr>
              <w:t xml:space="preserve"> le plan de travail suivant :</w:t>
            </w:r>
          </w:p>
          <w:p w:rsidR="003E53CE" w:rsidRPr="008D3648" w:rsidRDefault="003E53CE" w:rsidP="00AE0221">
            <w:pPr>
              <w:rPr>
                <w:b/>
              </w:rPr>
            </w:pPr>
          </w:p>
          <w:p w:rsidR="00AE0221" w:rsidRPr="007B2566" w:rsidRDefault="00D375CA" w:rsidP="00AE0221">
            <w:pPr>
              <w:rPr>
                <w:b/>
                <w:color w:val="4F81BD" w:themeColor="accent1"/>
                <w:sz w:val="28"/>
                <w:szCs w:val="28"/>
              </w:rPr>
            </w:pPr>
            <w:r w:rsidRPr="007B2566">
              <w:rPr>
                <w:b/>
                <w:color w:val="4F81BD" w:themeColor="accent1"/>
                <w:sz w:val="28"/>
                <w:szCs w:val="28"/>
              </w:rPr>
              <w:t>MISSION</w:t>
            </w:r>
            <w:r w:rsidR="003E53CE" w:rsidRPr="007B2566">
              <w:rPr>
                <w:b/>
                <w:color w:val="4F81BD" w:themeColor="accent1"/>
                <w:sz w:val="28"/>
                <w:szCs w:val="28"/>
              </w:rPr>
              <w:t xml:space="preserve">1 : Vérification de l’enregistrement, dans le PGI, des factures </w:t>
            </w:r>
          </w:p>
          <w:p w:rsidR="003E53CE" w:rsidRPr="007B2566" w:rsidRDefault="003E53CE" w:rsidP="00AE0221">
            <w:pPr>
              <w:rPr>
                <w:b/>
                <w:color w:val="4F81BD" w:themeColor="accent1"/>
                <w:sz w:val="28"/>
                <w:szCs w:val="28"/>
              </w:rPr>
            </w:pPr>
            <w:r w:rsidRPr="007B2566">
              <w:rPr>
                <w:b/>
                <w:color w:val="4F81BD" w:themeColor="accent1"/>
                <w:sz w:val="28"/>
                <w:szCs w:val="28"/>
              </w:rPr>
              <w:t>d’achat des immobilisations figurant en annexe 2.</w:t>
            </w:r>
          </w:p>
          <w:p w:rsidR="003E53CE" w:rsidRPr="008D3648" w:rsidRDefault="003E53CE" w:rsidP="00AE0221">
            <w:pPr>
              <w:rPr>
                <w:b/>
              </w:rPr>
            </w:pPr>
          </w:p>
          <w:p w:rsidR="00D375CA" w:rsidRPr="008D3648" w:rsidRDefault="00D375CA" w:rsidP="00AE0221">
            <w:pPr>
              <w:rPr>
                <w:b/>
              </w:rPr>
            </w:pPr>
          </w:p>
          <w:p w:rsidR="00AE0221" w:rsidRDefault="003E53CE" w:rsidP="00AE0221">
            <w:pPr>
              <w:rPr>
                <w:b/>
              </w:rPr>
            </w:pPr>
            <w:r w:rsidRPr="007B2566">
              <w:rPr>
                <w:b/>
                <w:color w:val="4F81BD" w:themeColor="accent1"/>
                <w:u w:val="single"/>
              </w:rPr>
              <w:t>Etape 1</w:t>
            </w:r>
            <w:r w:rsidRPr="008D3648">
              <w:rPr>
                <w:b/>
                <w:u w:val="single"/>
              </w:rPr>
              <w:t> :</w:t>
            </w:r>
            <w:r w:rsidRPr="008D3648">
              <w:rPr>
                <w:b/>
              </w:rPr>
              <w:t xml:space="preserve"> consulter et éventuellement compléter la documentation professionnelle </w:t>
            </w:r>
            <w:r w:rsidR="00D70787" w:rsidRPr="008D3648">
              <w:rPr>
                <w:b/>
              </w:rPr>
              <w:t>collectée</w:t>
            </w:r>
          </w:p>
          <w:p w:rsidR="003E53CE" w:rsidRPr="008D3648" w:rsidRDefault="00D70787" w:rsidP="00AE0221">
            <w:pPr>
              <w:rPr>
                <w:b/>
              </w:rPr>
            </w:pPr>
            <w:r w:rsidRPr="008D3648">
              <w:rPr>
                <w:b/>
              </w:rPr>
              <w:t xml:space="preserve"> par Xavier (annexe 3) sur la notion de coût d’acquisition d’une immobilisation.</w:t>
            </w:r>
          </w:p>
          <w:p w:rsidR="00D70787" w:rsidRPr="008D3648" w:rsidRDefault="00D70787" w:rsidP="00AE0221">
            <w:pPr>
              <w:rPr>
                <w:b/>
              </w:rPr>
            </w:pPr>
          </w:p>
          <w:p w:rsidR="00654F51" w:rsidRDefault="00D70787" w:rsidP="00AE0221">
            <w:pPr>
              <w:rPr>
                <w:b/>
              </w:rPr>
            </w:pPr>
            <w:r w:rsidRPr="007B2566">
              <w:rPr>
                <w:b/>
                <w:color w:val="4F81BD" w:themeColor="accent1"/>
                <w:u w:val="single"/>
              </w:rPr>
              <w:t>Etape 2 :</w:t>
            </w:r>
            <w:r w:rsidRPr="008D3648">
              <w:rPr>
                <w:b/>
              </w:rPr>
              <w:t xml:space="preserve"> vérifier les écritures passées par Xavier</w:t>
            </w:r>
            <w:r w:rsidR="00654F51">
              <w:rPr>
                <w:b/>
              </w:rPr>
              <w:t xml:space="preserve"> concernant les factures figurant dans les </w:t>
            </w:r>
          </w:p>
          <w:p w:rsidR="00D70787" w:rsidRPr="008D3648" w:rsidRDefault="00654F51" w:rsidP="00AE0221">
            <w:pPr>
              <w:rPr>
                <w:b/>
              </w:rPr>
            </w:pPr>
            <w:r>
              <w:rPr>
                <w:b/>
              </w:rPr>
              <w:t>annexes 6 et 7</w:t>
            </w:r>
            <w:r w:rsidR="00D70787" w:rsidRPr="008D3648">
              <w:rPr>
                <w:b/>
              </w:rPr>
              <w:t xml:space="preserve"> et</w:t>
            </w:r>
            <w:r w:rsidR="00E76486">
              <w:rPr>
                <w:b/>
              </w:rPr>
              <w:t xml:space="preserve"> </w:t>
            </w:r>
            <w:r w:rsidR="00D70787" w:rsidRPr="008D3648">
              <w:rPr>
                <w:b/>
              </w:rPr>
              <w:t xml:space="preserve"> les modifier si nécessaire</w:t>
            </w:r>
            <w:r>
              <w:rPr>
                <w:b/>
              </w:rPr>
              <w:t>.</w:t>
            </w:r>
          </w:p>
          <w:p w:rsidR="00D70787" w:rsidRPr="008D3648" w:rsidRDefault="00D70787" w:rsidP="00AE0221">
            <w:pPr>
              <w:rPr>
                <w:b/>
              </w:rPr>
            </w:pPr>
          </w:p>
          <w:p w:rsidR="00AE0221" w:rsidRPr="007B2566" w:rsidRDefault="00D70787" w:rsidP="00AE0221">
            <w:pPr>
              <w:rPr>
                <w:b/>
                <w:color w:val="4F81BD" w:themeColor="accent1"/>
                <w:sz w:val="28"/>
                <w:szCs w:val="28"/>
              </w:rPr>
            </w:pPr>
            <w:r w:rsidRPr="007B2566">
              <w:rPr>
                <w:b/>
                <w:color w:val="4F81BD" w:themeColor="accent1"/>
                <w:sz w:val="28"/>
                <w:szCs w:val="28"/>
              </w:rPr>
              <w:t xml:space="preserve">MISSION 2 : créer  les fiches d’immobilisations concernant </w:t>
            </w:r>
          </w:p>
          <w:p w:rsidR="00D70787" w:rsidRPr="007B2566" w:rsidRDefault="00D70787" w:rsidP="00AE0221">
            <w:pPr>
              <w:rPr>
                <w:b/>
                <w:color w:val="4F81BD" w:themeColor="accent1"/>
                <w:sz w:val="28"/>
                <w:szCs w:val="28"/>
              </w:rPr>
            </w:pPr>
            <w:r w:rsidRPr="007B2566">
              <w:rPr>
                <w:b/>
                <w:color w:val="4F81BD" w:themeColor="accent1"/>
                <w:sz w:val="28"/>
                <w:szCs w:val="28"/>
              </w:rPr>
              <w:t>les nouvelles acquisitions.</w:t>
            </w:r>
          </w:p>
          <w:p w:rsidR="00D70787" w:rsidRPr="008D3648" w:rsidRDefault="00D70787" w:rsidP="00AE0221">
            <w:pPr>
              <w:rPr>
                <w:b/>
              </w:rPr>
            </w:pPr>
          </w:p>
          <w:p w:rsidR="00AE0221" w:rsidRDefault="00D70787" w:rsidP="00AE0221">
            <w:pPr>
              <w:rPr>
                <w:b/>
              </w:rPr>
            </w:pPr>
            <w:r w:rsidRPr="007B2566">
              <w:rPr>
                <w:b/>
                <w:color w:val="4F81BD" w:themeColor="accent1"/>
                <w:u w:val="single"/>
              </w:rPr>
              <w:t>Etape 1 :</w:t>
            </w:r>
            <w:r w:rsidR="008D3648" w:rsidRPr="008D3648">
              <w:rPr>
                <w:b/>
              </w:rPr>
              <w:t xml:space="preserve"> </w:t>
            </w:r>
            <w:r w:rsidRPr="008D3648">
              <w:rPr>
                <w:b/>
              </w:rPr>
              <w:t>enrichir</w:t>
            </w:r>
            <w:r w:rsidR="00D375CA" w:rsidRPr="008D3648">
              <w:rPr>
                <w:b/>
              </w:rPr>
              <w:t xml:space="preserve"> </w:t>
            </w:r>
            <w:r w:rsidRPr="008D3648">
              <w:rPr>
                <w:b/>
              </w:rPr>
              <w:t xml:space="preserve"> la documentation professionnelle constituée par </w:t>
            </w:r>
            <w:r w:rsidR="00724698" w:rsidRPr="008D3648">
              <w:rPr>
                <w:b/>
              </w:rPr>
              <w:t xml:space="preserve">Xavier sur </w:t>
            </w:r>
          </w:p>
          <w:p w:rsidR="00AE0221" w:rsidRDefault="00724698" w:rsidP="00AE0221">
            <w:pPr>
              <w:rPr>
                <w:b/>
              </w:rPr>
            </w:pPr>
            <w:r w:rsidRPr="008D3648">
              <w:rPr>
                <w:b/>
              </w:rPr>
              <w:t>la notion d’amortissement : amortissement comptable, amortissement fiscal,</w:t>
            </w:r>
          </w:p>
          <w:p w:rsidR="00D70787" w:rsidRPr="008D3648" w:rsidRDefault="00724698" w:rsidP="00AE0221">
            <w:pPr>
              <w:rPr>
                <w:b/>
              </w:rPr>
            </w:pPr>
            <w:r w:rsidRPr="008D3648">
              <w:rPr>
                <w:b/>
              </w:rPr>
              <w:t xml:space="preserve"> modes d’amortissement</w:t>
            </w:r>
            <w:r w:rsidR="008D3648" w:rsidRPr="008D3648">
              <w:rPr>
                <w:b/>
              </w:rPr>
              <w:t xml:space="preserve"> </w:t>
            </w:r>
            <w:r w:rsidRPr="008D3648">
              <w:rPr>
                <w:b/>
              </w:rPr>
              <w:t>(linéaire, dégressif…), amortissement dérogatoire…</w:t>
            </w:r>
          </w:p>
          <w:p w:rsidR="00D375CA" w:rsidRPr="008D3648" w:rsidRDefault="00D375CA" w:rsidP="00AE0221">
            <w:pPr>
              <w:rPr>
                <w:b/>
              </w:rPr>
            </w:pPr>
          </w:p>
          <w:p w:rsidR="00654F51" w:rsidRDefault="00724698" w:rsidP="00654F51">
            <w:pPr>
              <w:jc w:val="left"/>
              <w:rPr>
                <w:b/>
              </w:rPr>
            </w:pPr>
            <w:r w:rsidRPr="007B2566">
              <w:rPr>
                <w:b/>
                <w:color w:val="4F81BD" w:themeColor="accent1"/>
                <w:u w:val="single"/>
              </w:rPr>
              <w:t>Etape 2</w:t>
            </w:r>
            <w:r w:rsidRPr="008D3648">
              <w:rPr>
                <w:b/>
                <w:u w:val="single"/>
              </w:rPr>
              <w:t> :</w:t>
            </w:r>
            <w:r w:rsidRPr="008D3648">
              <w:rPr>
                <w:b/>
              </w:rPr>
              <w:t xml:space="preserve"> Créer les fiches d’immobilisation dans le module « I</w:t>
            </w:r>
            <w:r w:rsidR="00EE701F">
              <w:rPr>
                <w:b/>
              </w:rPr>
              <w:t>mmobilisation »</w:t>
            </w:r>
            <w:r w:rsidRPr="008D3648">
              <w:rPr>
                <w:b/>
              </w:rPr>
              <w:t xml:space="preserve"> du PGI </w:t>
            </w:r>
            <w:r w:rsidR="00EE701F">
              <w:rPr>
                <w:b/>
              </w:rPr>
              <w:t xml:space="preserve"> </w:t>
            </w:r>
            <w:r w:rsidRPr="008D3648">
              <w:rPr>
                <w:b/>
              </w:rPr>
              <w:t xml:space="preserve">à l’aide </w:t>
            </w:r>
          </w:p>
          <w:p w:rsidR="00724698" w:rsidRPr="00654F51" w:rsidRDefault="00724698" w:rsidP="00654F51">
            <w:pPr>
              <w:jc w:val="left"/>
              <w:rPr>
                <w:b/>
                <w:i/>
                <w:u w:val="single"/>
              </w:rPr>
            </w:pPr>
            <w:r w:rsidRPr="008D3648">
              <w:rPr>
                <w:b/>
              </w:rPr>
              <w:t xml:space="preserve">de la fiche conseil </w:t>
            </w:r>
            <w:r w:rsidRPr="00654F51">
              <w:rPr>
                <w:b/>
                <w:i/>
              </w:rPr>
              <w:t>(</w:t>
            </w:r>
            <w:r w:rsidRPr="00654F51">
              <w:rPr>
                <w:b/>
                <w:i/>
                <w:u w:val="single"/>
              </w:rPr>
              <w:t>annexe</w:t>
            </w:r>
            <w:r w:rsidR="00EB2003" w:rsidRPr="00654F51">
              <w:rPr>
                <w:b/>
                <w:i/>
                <w:u w:val="single"/>
              </w:rPr>
              <w:t xml:space="preserve"> 5)</w:t>
            </w:r>
            <w:r w:rsidR="00EB2003" w:rsidRPr="008D3648">
              <w:rPr>
                <w:b/>
              </w:rPr>
              <w:t xml:space="preserve"> </w:t>
            </w:r>
            <w:r w:rsidR="00EE701F">
              <w:rPr>
                <w:b/>
              </w:rPr>
              <w:t xml:space="preserve">et des fiches concernant les nouvelles immobilisations </w:t>
            </w:r>
            <w:r w:rsidR="00EE701F" w:rsidRPr="00654F51">
              <w:rPr>
                <w:b/>
                <w:i/>
                <w:u w:val="single"/>
              </w:rPr>
              <w:t>(annexe 2)</w:t>
            </w:r>
          </w:p>
          <w:p w:rsidR="00654F51" w:rsidRPr="008D3648" w:rsidRDefault="00654F51" w:rsidP="00654F51">
            <w:pPr>
              <w:jc w:val="left"/>
              <w:rPr>
                <w:b/>
              </w:rPr>
            </w:pPr>
          </w:p>
          <w:p w:rsidR="00EB2003" w:rsidRPr="008D3648" w:rsidRDefault="00EB2003" w:rsidP="00AE0221">
            <w:pPr>
              <w:rPr>
                <w:b/>
              </w:rPr>
            </w:pPr>
            <w:r w:rsidRPr="007B2566">
              <w:rPr>
                <w:b/>
                <w:color w:val="4F81BD" w:themeColor="accent1"/>
                <w:u w:val="single"/>
              </w:rPr>
              <w:t>Etape 3</w:t>
            </w:r>
            <w:r w:rsidRPr="008D3648">
              <w:rPr>
                <w:b/>
              </w:rPr>
              <w:t> : rédiger une note précisant :</w:t>
            </w:r>
          </w:p>
          <w:p w:rsidR="00EB2003" w:rsidRPr="008D3648" w:rsidRDefault="00EB2003" w:rsidP="00AE0221">
            <w:pPr>
              <w:rPr>
                <w:b/>
              </w:rPr>
            </w:pPr>
          </w:p>
          <w:p w:rsidR="000E0CF9" w:rsidRPr="008D3648" w:rsidRDefault="001774AF" w:rsidP="00AE0221">
            <w:pPr>
              <w:pStyle w:val="Paragraphedeliste"/>
              <w:numPr>
                <w:ilvl w:val="0"/>
                <w:numId w:val="4"/>
              </w:numPr>
              <w:jc w:val="both"/>
            </w:pPr>
            <w:r w:rsidRPr="008D3648">
              <w:t>La distinction entre amortissement comptable et amortissement fiscal</w:t>
            </w:r>
          </w:p>
          <w:p w:rsidR="001774AF" w:rsidRPr="008D3648" w:rsidRDefault="001774AF" w:rsidP="00AE0221">
            <w:pPr>
              <w:pStyle w:val="Paragraphedeliste"/>
              <w:numPr>
                <w:ilvl w:val="0"/>
                <w:numId w:val="4"/>
              </w:numPr>
              <w:jc w:val="both"/>
            </w:pPr>
            <w:r w:rsidRPr="008D3648">
              <w:t>Les conditions pour bénéficier d’un amortissement fiscal dégressif ou exceptionnel</w:t>
            </w:r>
          </w:p>
          <w:p w:rsidR="001774AF" w:rsidRPr="008D3648" w:rsidRDefault="001774AF" w:rsidP="00AE0221">
            <w:pPr>
              <w:pStyle w:val="Paragraphedeliste"/>
              <w:numPr>
                <w:ilvl w:val="0"/>
                <w:numId w:val="4"/>
              </w:numPr>
              <w:jc w:val="both"/>
            </w:pPr>
            <w:r w:rsidRPr="008D3648">
              <w:t>L’intérêt pour l’entreprise de constituer un amortissement dérogatoire</w:t>
            </w:r>
          </w:p>
          <w:p w:rsidR="008D3648" w:rsidRPr="008D3648" w:rsidRDefault="008D3648" w:rsidP="00AE0221">
            <w:pPr>
              <w:pStyle w:val="Paragraphedeliste"/>
              <w:ind w:left="1080"/>
              <w:jc w:val="both"/>
            </w:pPr>
          </w:p>
          <w:p w:rsidR="00AE0221" w:rsidRDefault="001774AF" w:rsidP="00AE0221">
            <w:pPr>
              <w:rPr>
                <w:b/>
              </w:rPr>
            </w:pPr>
            <w:r w:rsidRPr="007B2566">
              <w:rPr>
                <w:b/>
                <w:color w:val="4F81BD" w:themeColor="accent1"/>
                <w:u w:val="single"/>
              </w:rPr>
              <w:t>Etape 4</w:t>
            </w:r>
            <w:r w:rsidRPr="008D3648">
              <w:rPr>
                <w:b/>
              </w:rPr>
              <w:t> : constituer le dossier  demandé par J</w:t>
            </w:r>
            <w:r w:rsidR="008D3648" w:rsidRPr="008D3648">
              <w:rPr>
                <w:b/>
              </w:rPr>
              <w:t xml:space="preserve">osepk </w:t>
            </w:r>
            <w:r w:rsidRPr="008D3648">
              <w:rPr>
                <w:b/>
              </w:rPr>
              <w:t>K</w:t>
            </w:r>
            <w:r w:rsidR="008D3648" w:rsidRPr="008D3648">
              <w:rPr>
                <w:b/>
              </w:rPr>
              <w:t>ermach</w:t>
            </w:r>
            <w:r w:rsidRPr="008D3648">
              <w:rPr>
                <w:b/>
              </w:rPr>
              <w:t xml:space="preserve"> et prendre rendez-vous </w:t>
            </w:r>
          </w:p>
          <w:p w:rsidR="001774AF" w:rsidRDefault="001774AF" w:rsidP="00AE0221">
            <w:pPr>
              <w:rPr>
                <w:b/>
              </w:rPr>
            </w:pPr>
            <w:r w:rsidRPr="008D3648">
              <w:rPr>
                <w:b/>
              </w:rPr>
              <w:t>avec lui pour lui remettre  le dossier et rendre compte du travail effectué.</w:t>
            </w:r>
          </w:p>
          <w:p w:rsidR="00AE0221" w:rsidRPr="008D3648" w:rsidRDefault="00AE0221" w:rsidP="00AE0221">
            <w:pPr>
              <w:rPr>
                <w:b/>
              </w:rPr>
            </w:pPr>
          </w:p>
          <w:p w:rsidR="000E0CF9" w:rsidRPr="008D3648" w:rsidRDefault="000E0CF9" w:rsidP="00714606">
            <w:pPr>
              <w:ind w:left="0" w:firstLine="0"/>
            </w:pPr>
          </w:p>
        </w:tc>
      </w:tr>
      <w:tr w:rsidR="00EB2003" w:rsidTr="00AE0221">
        <w:tc>
          <w:tcPr>
            <w:tcW w:w="9640" w:type="dxa"/>
            <w:tcBorders>
              <w:top w:val="single" w:sz="4" w:space="0" w:color="auto"/>
              <w:left w:val="nil"/>
              <w:bottom w:val="nil"/>
              <w:right w:val="nil"/>
            </w:tcBorders>
          </w:tcPr>
          <w:p w:rsidR="00EB2003" w:rsidRPr="008D3648" w:rsidRDefault="00EB2003" w:rsidP="00D80797">
            <w:pPr>
              <w:rPr>
                <w:b/>
              </w:rPr>
            </w:pPr>
          </w:p>
        </w:tc>
      </w:tr>
    </w:tbl>
    <w:p w:rsidR="000E0CF9" w:rsidRDefault="000E0CF9" w:rsidP="00714606"/>
    <w:p w:rsidR="000E0CF9" w:rsidRDefault="000E0CF9" w:rsidP="00714606"/>
    <w:p w:rsidR="000E0CF9" w:rsidRPr="00344B8E" w:rsidRDefault="00E50442" w:rsidP="00714606">
      <w:pPr>
        <w:rPr>
          <w:i/>
          <w:u w:val="single"/>
        </w:rPr>
      </w:pPr>
      <w:r w:rsidRPr="00344B8E">
        <w:rPr>
          <w:i/>
          <w:u w:val="single"/>
        </w:rPr>
        <w:t>Résult</w:t>
      </w:r>
      <w:r w:rsidR="00AD3F74">
        <w:rPr>
          <w:i/>
          <w:u w:val="single"/>
        </w:rPr>
        <w:t>ats attendus :</w:t>
      </w:r>
    </w:p>
    <w:p w:rsidR="00344B8E" w:rsidRPr="00344B8E" w:rsidRDefault="00344B8E" w:rsidP="00714606">
      <w:pPr>
        <w:rPr>
          <w:u w:val="single"/>
        </w:rPr>
      </w:pPr>
    </w:p>
    <w:p w:rsidR="00E50442" w:rsidRDefault="00E50442" w:rsidP="00E50442">
      <w:pPr>
        <w:pStyle w:val="Paragraphedeliste"/>
        <w:numPr>
          <w:ilvl w:val="0"/>
          <w:numId w:val="3"/>
        </w:numPr>
      </w:pPr>
      <w:r>
        <w:t>Comptabilisation des factures en respectant la notion de coût d’acquisition des immobilisations</w:t>
      </w:r>
    </w:p>
    <w:p w:rsidR="00E50442" w:rsidRDefault="00E50442" w:rsidP="00E50442">
      <w:pPr>
        <w:pStyle w:val="Paragraphedeliste"/>
        <w:numPr>
          <w:ilvl w:val="0"/>
          <w:numId w:val="3"/>
        </w:numPr>
      </w:pPr>
      <w:r>
        <w:t>Maîtriser les règles comptables et les règles fiscales en matière d’amortissement</w:t>
      </w:r>
    </w:p>
    <w:p w:rsidR="00E50442" w:rsidRDefault="00E50442" w:rsidP="00E50442">
      <w:pPr>
        <w:pStyle w:val="Paragraphedeliste"/>
        <w:numPr>
          <w:ilvl w:val="0"/>
          <w:numId w:val="3"/>
        </w:numPr>
      </w:pPr>
      <w:r>
        <w:t>Maîtriser la notion d’amortissement dérogatoire</w:t>
      </w:r>
    </w:p>
    <w:p w:rsidR="00E50442" w:rsidRDefault="00E50442" w:rsidP="00E50442">
      <w:pPr>
        <w:pStyle w:val="Paragraphedeliste"/>
        <w:numPr>
          <w:ilvl w:val="0"/>
          <w:numId w:val="3"/>
        </w:numPr>
      </w:pPr>
      <w:r>
        <w:t>L’utilisation</w:t>
      </w:r>
      <w:r w:rsidR="00344B8E">
        <w:t xml:space="preserve"> du PGI pour les enregistrements comptable</w:t>
      </w:r>
      <w:r w:rsidR="00070B97">
        <w:t xml:space="preserve">s </w:t>
      </w:r>
      <w:r w:rsidR="00344B8E">
        <w:t xml:space="preserve"> et pour le suivi des immobilisations</w:t>
      </w:r>
    </w:p>
    <w:p w:rsidR="000E0CF9" w:rsidRDefault="000E0CF9" w:rsidP="00714606"/>
    <w:p w:rsidR="000E0CF9" w:rsidRDefault="000E0CF9" w:rsidP="00714606"/>
    <w:p w:rsidR="000E0CF9" w:rsidRPr="00344B8E" w:rsidRDefault="00344B8E" w:rsidP="00714606">
      <w:pPr>
        <w:rPr>
          <w:i/>
          <w:u w:val="single"/>
        </w:rPr>
      </w:pPr>
      <w:r w:rsidRPr="00344B8E">
        <w:rPr>
          <w:i/>
          <w:u w:val="single"/>
        </w:rPr>
        <w:t>Productio</w:t>
      </w:r>
      <w:r w:rsidR="00AD3F74">
        <w:rPr>
          <w:i/>
          <w:u w:val="single"/>
        </w:rPr>
        <w:t>ns attendues :</w:t>
      </w:r>
    </w:p>
    <w:p w:rsidR="00344B8E" w:rsidRDefault="00344B8E" w:rsidP="00714606">
      <w:pPr>
        <w:rPr>
          <w:u w:val="single"/>
        </w:rPr>
      </w:pPr>
    </w:p>
    <w:p w:rsidR="00344B8E" w:rsidRDefault="00344B8E" w:rsidP="00344B8E">
      <w:pPr>
        <w:pStyle w:val="Paragraphedeliste"/>
        <w:numPr>
          <w:ilvl w:val="0"/>
          <w:numId w:val="3"/>
        </w:numPr>
      </w:pPr>
      <w:r>
        <w:t>Constitution d’une documentation professionnelle</w:t>
      </w:r>
    </w:p>
    <w:p w:rsidR="00344B8E" w:rsidRDefault="00344B8E" w:rsidP="00344B8E">
      <w:pPr>
        <w:pStyle w:val="Paragraphedeliste"/>
        <w:numPr>
          <w:ilvl w:val="0"/>
          <w:numId w:val="3"/>
        </w:numPr>
      </w:pPr>
      <w:r>
        <w:t>Edition des plans d’amortissement</w:t>
      </w:r>
    </w:p>
    <w:p w:rsidR="00344B8E" w:rsidRDefault="00344B8E" w:rsidP="00344B8E">
      <w:pPr>
        <w:pStyle w:val="Paragraphedeliste"/>
        <w:numPr>
          <w:ilvl w:val="0"/>
          <w:numId w:val="3"/>
        </w:numPr>
      </w:pPr>
      <w:r>
        <w:t>Rédaction d’une note de synthèse</w:t>
      </w:r>
    </w:p>
    <w:p w:rsidR="000E0CF9" w:rsidRDefault="000E0CF9" w:rsidP="00714606"/>
    <w:sectPr w:rsidR="000E0CF9" w:rsidSect="00D7032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AC8" w:rsidRDefault="00066AC8" w:rsidP="007A37E0">
      <w:r>
        <w:separator/>
      </w:r>
    </w:p>
  </w:endnote>
  <w:endnote w:type="continuationSeparator" w:id="1">
    <w:p w:rsidR="00066AC8" w:rsidRDefault="00066AC8" w:rsidP="007A37E0">
      <w:r>
        <w:continuationSeparator/>
      </w:r>
    </w:p>
  </w:endnote>
</w:endnotes>
</file>

<file path=word/fontTable.xml><?xml version="1.0" encoding="utf-8"?>
<w:fonts xmlns:r="http://schemas.openxmlformats.org/officeDocument/2006/relationships" xmlns:w="http://schemas.openxmlformats.org/wordprocessingml/2006/main">
  <w:font w:name="MS Outlook">
    <w:panose1 w:val="0501010001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10845"/>
      <w:docPartObj>
        <w:docPartGallery w:val="Page Numbers (Bottom of Page)"/>
        <w:docPartUnique/>
      </w:docPartObj>
    </w:sdtPr>
    <w:sdtContent>
      <w:p w:rsidR="00724698" w:rsidRDefault="00F57AFE">
        <w:pPr>
          <w:pStyle w:val="Pieddepage"/>
        </w:pPr>
        <w:fldSimple w:instr=" PAGE   \* MERGEFORMAT ">
          <w:r w:rsidR="00BE4376">
            <w:rPr>
              <w:noProof/>
            </w:rPr>
            <w:t>1</w:t>
          </w:r>
        </w:fldSimple>
      </w:p>
    </w:sdtContent>
  </w:sdt>
  <w:p w:rsidR="00724698" w:rsidRDefault="00724698">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AC8" w:rsidRDefault="00066AC8" w:rsidP="007A37E0">
      <w:r>
        <w:separator/>
      </w:r>
    </w:p>
  </w:footnote>
  <w:footnote w:type="continuationSeparator" w:id="1">
    <w:p w:rsidR="00066AC8" w:rsidRDefault="00066AC8" w:rsidP="007A37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63503"/>
    <w:multiLevelType w:val="hybridMultilevel"/>
    <w:tmpl w:val="DC2E6572"/>
    <w:lvl w:ilvl="0" w:tplc="3A22A872">
      <w:start w:val="1"/>
      <w:numFmt w:val="bullet"/>
      <w:lvlText w:val=""/>
      <w:lvlJc w:val="left"/>
      <w:pPr>
        <w:ind w:left="720" w:hanging="360"/>
      </w:pPr>
      <w:rPr>
        <w:rFonts w:ascii="MS Outlook" w:hAnsi="MS Outloo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B9E2A22"/>
    <w:multiLevelType w:val="hybridMultilevel"/>
    <w:tmpl w:val="8F6EE004"/>
    <w:lvl w:ilvl="0" w:tplc="2454FAD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8D3618B"/>
    <w:multiLevelType w:val="hybridMultilevel"/>
    <w:tmpl w:val="33802E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D6E5FFE"/>
    <w:multiLevelType w:val="hybridMultilevel"/>
    <w:tmpl w:val="A0182DC8"/>
    <w:lvl w:ilvl="0" w:tplc="8C0E9B8E">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714606"/>
    <w:rsid w:val="00066AC8"/>
    <w:rsid w:val="00070620"/>
    <w:rsid w:val="00070B97"/>
    <w:rsid w:val="000A7FAB"/>
    <w:rsid w:val="000E051A"/>
    <w:rsid w:val="000E0CF9"/>
    <w:rsid w:val="001774AF"/>
    <w:rsid w:val="00180AB9"/>
    <w:rsid w:val="00185635"/>
    <w:rsid w:val="0021231F"/>
    <w:rsid w:val="0021748D"/>
    <w:rsid w:val="00250340"/>
    <w:rsid w:val="0025606F"/>
    <w:rsid w:val="002A580A"/>
    <w:rsid w:val="002C60E6"/>
    <w:rsid w:val="00344B8E"/>
    <w:rsid w:val="00363C03"/>
    <w:rsid w:val="00381B89"/>
    <w:rsid w:val="003B3429"/>
    <w:rsid w:val="003B7B71"/>
    <w:rsid w:val="003E53CE"/>
    <w:rsid w:val="004106B1"/>
    <w:rsid w:val="0045015A"/>
    <w:rsid w:val="00460C5F"/>
    <w:rsid w:val="004672A6"/>
    <w:rsid w:val="004D10FA"/>
    <w:rsid w:val="004D33B1"/>
    <w:rsid w:val="0051137B"/>
    <w:rsid w:val="005277F3"/>
    <w:rsid w:val="005556ED"/>
    <w:rsid w:val="00567221"/>
    <w:rsid w:val="0059125C"/>
    <w:rsid w:val="005C6197"/>
    <w:rsid w:val="005F51CB"/>
    <w:rsid w:val="00654F51"/>
    <w:rsid w:val="00665AEC"/>
    <w:rsid w:val="00682B90"/>
    <w:rsid w:val="00714606"/>
    <w:rsid w:val="00724698"/>
    <w:rsid w:val="0073630A"/>
    <w:rsid w:val="00737174"/>
    <w:rsid w:val="007A37E0"/>
    <w:rsid w:val="007A6578"/>
    <w:rsid w:val="007B2566"/>
    <w:rsid w:val="00810A78"/>
    <w:rsid w:val="00874F98"/>
    <w:rsid w:val="008B6AA5"/>
    <w:rsid w:val="008D3648"/>
    <w:rsid w:val="008E47C2"/>
    <w:rsid w:val="009010E9"/>
    <w:rsid w:val="0093788C"/>
    <w:rsid w:val="0096633A"/>
    <w:rsid w:val="00996DEC"/>
    <w:rsid w:val="009D43C3"/>
    <w:rsid w:val="009D520B"/>
    <w:rsid w:val="00A32E66"/>
    <w:rsid w:val="00A64B8D"/>
    <w:rsid w:val="00A666C2"/>
    <w:rsid w:val="00A778B9"/>
    <w:rsid w:val="00A876F0"/>
    <w:rsid w:val="00A91D1B"/>
    <w:rsid w:val="00A92219"/>
    <w:rsid w:val="00AB2ACA"/>
    <w:rsid w:val="00AD3F74"/>
    <w:rsid w:val="00AE0221"/>
    <w:rsid w:val="00AF2469"/>
    <w:rsid w:val="00B21EB8"/>
    <w:rsid w:val="00B417DB"/>
    <w:rsid w:val="00B535A6"/>
    <w:rsid w:val="00BA001F"/>
    <w:rsid w:val="00BA017E"/>
    <w:rsid w:val="00BC0117"/>
    <w:rsid w:val="00BC0AF1"/>
    <w:rsid w:val="00BE4376"/>
    <w:rsid w:val="00BE7DC6"/>
    <w:rsid w:val="00C01B6E"/>
    <w:rsid w:val="00C35CD1"/>
    <w:rsid w:val="00C56AAD"/>
    <w:rsid w:val="00D1637B"/>
    <w:rsid w:val="00D3327F"/>
    <w:rsid w:val="00D375CA"/>
    <w:rsid w:val="00D7032A"/>
    <w:rsid w:val="00D70787"/>
    <w:rsid w:val="00D80797"/>
    <w:rsid w:val="00DB21C6"/>
    <w:rsid w:val="00DD0335"/>
    <w:rsid w:val="00E24CD7"/>
    <w:rsid w:val="00E50442"/>
    <w:rsid w:val="00E76486"/>
    <w:rsid w:val="00E77304"/>
    <w:rsid w:val="00EA5A21"/>
    <w:rsid w:val="00EB2003"/>
    <w:rsid w:val="00EE701F"/>
    <w:rsid w:val="00EF0146"/>
    <w:rsid w:val="00EF0E21"/>
    <w:rsid w:val="00F57AFE"/>
    <w:rsid w:val="00F63EE4"/>
    <w:rsid w:val="00F8113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32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1460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D80797"/>
    <w:pPr>
      <w:ind w:left="720" w:firstLine="0"/>
      <w:contextualSpacing/>
      <w:jc w:val="left"/>
    </w:pPr>
    <w:rPr>
      <w:rFonts w:ascii="Times New Roman" w:eastAsia="Times New Roman" w:hAnsi="Times New Roman" w:cs="Times New Roman"/>
      <w:sz w:val="20"/>
      <w:szCs w:val="20"/>
      <w:lang w:eastAsia="fr-FR"/>
    </w:rPr>
  </w:style>
  <w:style w:type="paragraph" w:customStyle="1" w:styleId="pjustif">
    <w:name w:val="pjustif"/>
    <w:basedOn w:val="Normal"/>
    <w:rsid w:val="00D80797"/>
    <w:pPr>
      <w:spacing w:before="100" w:beforeAutospacing="1" w:after="100" w:afterAutospacing="1"/>
      <w:ind w:left="0" w:firstLine="0"/>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80797"/>
    <w:pPr>
      <w:spacing w:before="100" w:beforeAutospacing="1" w:after="100" w:afterAutospacing="1"/>
      <w:ind w:left="0" w:firstLine="0"/>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92219"/>
    <w:rPr>
      <w:b/>
      <w:bCs/>
    </w:rPr>
  </w:style>
  <w:style w:type="paragraph" w:styleId="En-tte">
    <w:name w:val="header"/>
    <w:basedOn w:val="Normal"/>
    <w:link w:val="En-tteCar"/>
    <w:uiPriority w:val="99"/>
    <w:semiHidden/>
    <w:unhideWhenUsed/>
    <w:rsid w:val="007A37E0"/>
    <w:pPr>
      <w:tabs>
        <w:tab w:val="center" w:pos="4536"/>
        <w:tab w:val="right" w:pos="9072"/>
      </w:tabs>
    </w:pPr>
  </w:style>
  <w:style w:type="character" w:customStyle="1" w:styleId="En-tteCar">
    <w:name w:val="En-tête Car"/>
    <w:basedOn w:val="Policepardfaut"/>
    <w:link w:val="En-tte"/>
    <w:uiPriority w:val="99"/>
    <w:semiHidden/>
    <w:rsid w:val="007A37E0"/>
  </w:style>
  <w:style w:type="paragraph" w:styleId="Pieddepage">
    <w:name w:val="footer"/>
    <w:basedOn w:val="Normal"/>
    <w:link w:val="PieddepageCar"/>
    <w:uiPriority w:val="99"/>
    <w:unhideWhenUsed/>
    <w:rsid w:val="007A37E0"/>
    <w:pPr>
      <w:tabs>
        <w:tab w:val="center" w:pos="4536"/>
        <w:tab w:val="right" w:pos="9072"/>
      </w:tabs>
    </w:pPr>
  </w:style>
  <w:style w:type="character" w:customStyle="1" w:styleId="PieddepageCar">
    <w:name w:val="Pied de page Car"/>
    <w:basedOn w:val="Policepardfaut"/>
    <w:link w:val="Pieddepage"/>
    <w:uiPriority w:val="99"/>
    <w:rsid w:val="007A37E0"/>
  </w:style>
</w:styles>
</file>

<file path=word/webSettings.xml><?xml version="1.0" encoding="utf-8"?>
<w:webSettings xmlns:r="http://schemas.openxmlformats.org/officeDocument/2006/relationships" xmlns:w="http://schemas.openxmlformats.org/wordprocessingml/2006/main">
  <w:divs>
    <w:div w:id="1122646788">
      <w:bodyDiv w:val="1"/>
      <w:marLeft w:val="0"/>
      <w:marRight w:val="0"/>
      <w:marTop w:val="0"/>
      <w:marBottom w:val="0"/>
      <w:divBdr>
        <w:top w:val="none" w:sz="0" w:space="0" w:color="auto"/>
        <w:left w:val="none" w:sz="0" w:space="0" w:color="auto"/>
        <w:bottom w:val="none" w:sz="0" w:space="0" w:color="auto"/>
        <w:right w:val="none" w:sz="0" w:space="0" w:color="auto"/>
      </w:divBdr>
    </w:div>
    <w:div w:id="139770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967FCE-81BF-4633-83A7-84673A3AD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782</Words>
  <Characters>4306</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marie</cp:lastModifiedBy>
  <cp:revision>7</cp:revision>
  <cp:lastPrinted>2015-06-26T09:52:00Z</cp:lastPrinted>
  <dcterms:created xsi:type="dcterms:W3CDTF">2015-06-29T15:00:00Z</dcterms:created>
  <dcterms:modified xsi:type="dcterms:W3CDTF">2015-06-29T16:37:00Z</dcterms:modified>
</cp:coreProperties>
</file>